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b/>
          <w:bCs/>
          <w:sz w:val="20"/>
          <w:szCs w:val="20"/>
        </w:rPr>
      </w:pPr>
      <w:r w:rsidRPr="00E635A2">
        <w:rPr>
          <w:rFonts w:hint="cs"/>
          <w:sz w:val="20"/>
          <w:szCs w:val="20"/>
          <w:rtl/>
        </w:rPr>
        <w:t xml:space="preserve">מספר פנימי: </w:t>
      </w:r>
      <w:bookmarkStart w:name="LGS_Internal_ID" w:id="0"/>
      <w:r>
        <w:rPr>
          <w:rFonts w:hint="cs"/>
          <w:sz w:val="20"/>
          <w:szCs w:val="20"/>
          <w:rtl/>
        </w:rPr>
        <w:t>2197030</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b/>
          <w:bCs/>
          <w:sz w:val="26"/>
          <w:szCs w:val="26"/>
          <w:rtl/>
        </w:rPr>
      </w:pPr>
    </w:p>
    <w:p w:rsidRPr="00CF1AA2" w:rsidR="00E13C27" w:rsidP="008D2182" w:rsidRDefault="008F6665" w14:paraId="7F6961AA" w14:textId="2E876D76">
      <w:pPr>
        <w:pStyle w:val="David"/>
        <w:spacing w:before="102"/>
        <w:ind w:left="3544"/>
        <w:rPr>
          <w:b/>
          <w:bCs/>
          <w:sz w:val="16"/>
          <w:szCs w:val="16"/>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עאידה תומא סלימאן</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אחמד טיבי</w:t>
      </w:r>
      <w:bookmarkStart w:name="LGS_Join_List" w:id="4"/>
      <w:bookmarkEnd w:id="3"/>
      <w:r w:rsidR="007D585A">
        <w:rPr>
          <w:rtl/>
        </w:rPr>
        <w:t xml:space="preserve"> </w:t>
      </w:r>
      <w:bookmarkEnd w:id="4"/>
      <w:r w:rsidRPr="00CF1AA2" w:rsidR="002200A1">
        <w:rPr>
          <w:rFonts w:hint="cs"/>
          <w:rtl/>
        </w:rPr>
        <w:tab/>
      </w:r>
      <w:bookmarkStart w:name="LGS_PM_NamesJoin" w:id="5"/>
      <w:r w:rsidR="007D585A">
        <w:rPr>
          <w:rFonts w:hint="cs"/>
          <w:rtl/>
        </w:rPr>
        <w:t xml:space="preserve"> </w:t>
      </w:r>
      <w:bookmarkEnd w:id="5"/>
    </w:p>
    <w:p w:rsidRPr="00904591" w:rsidR="00904591" w:rsidP="0036422C" w:rsidRDefault="00266D86" w14:paraId="34DB4103" w14:textId="77777777">
      <w:pPr>
        <w:pStyle w:val="David"/>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8D2182" w:rsidRDefault="00904591" w14:paraId="7F6961AB" w14:textId="156DDF0F">
      <w:pPr>
        <w:pStyle w:val="David"/>
        <w:spacing w:line="240" w:lineRule="auto"/>
        <w:ind w:left="6424" w:firstLine="56"/>
        <w:rPr>
          <w:rtl/>
        </w:rPr>
      </w:pPr>
      <w:bookmarkStart w:name="Private_Number" w:id="6"/>
      <w:r>
        <w:rPr>
          <w:rFonts w:hint="cs"/>
          <w:rtl/>
        </w:rPr>
        <w:t>פ/385/25</w:t>
      </w:r>
      <w:bookmarkEnd w:id="6"/>
    </w:p>
    <w:p w:rsidRPr="00F67051" w:rsidR="00E13C27" w:rsidP="0021633A" w:rsidRDefault="00A443CF" w14:paraId="7F6961AD" w14:textId="77777777">
      <w:pPr>
        <w:pStyle w:val="HeadHatzaotHok"/>
        <w:rPr>
          <w:rtl/>
        </w:rPr>
      </w:pPr>
      <w:bookmarkStart w:name="LGS_Subject" w:id="7"/>
      <w:r>
        <w:rPr>
          <w:rFonts w:hint="cs"/>
          <w:rtl/>
        </w:rPr>
        <w:t>הצעת חוק זכויות נפגעי עבירה (תיקון – הרחבת זכות היידוע), התשפ"ג–2022</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Pr="002D5179" w:rsidR="00C90EC4" w:rsidTr="008D2182" w14:paraId="1E8C5666" w14:textId="77777777">
        <w:trPr>
          <w:cantSplit/>
        </w:trPr>
        <w:tc>
          <w:tcPr>
            <w:tcW w:w="1871" w:type="dxa"/>
            <w:hideMark/>
          </w:tcPr>
          <w:p w:rsidRPr="002D5179" w:rsidR="00C90EC4" w:rsidP="00596ED6" w:rsidRDefault="00C90EC4" w14:paraId="7EB6FE91" w14:textId="77777777">
            <w:pPr>
              <w:pStyle w:val="TableSideHeading"/>
              <w:keepLines w:val="0"/>
              <w:rPr>
                <w:sz w:val="26"/>
              </w:rPr>
            </w:pPr>
            <w:r w:rsidRPr="002D5179">
              <w:rPr>
                <w:sz w:val="26"/>
                <w:rtl/>
              </w:rPr>
              <w:t>תיקון התוספת השנייה</w:t>
            </w:r>
          </w:p>
        </w:tc>
        <w:tc>
          <w:tcPr>
            <w:tcW w:w="624" w:type="dxa"/>
            <w:hideMark/>
          </w:tcPr>
          <w:p w:rsidRPr="002D5179" w:rsidR="00C90EC4" w:rsidP="00596ED6" w:rsidRDefault="00C90EC4" w14:paraId="4D50EDB2" w14:textId="77777777">
            <w:pPr>
              <w:pStyle w:val="TableText"/>
              <w:keepLines w:val="0"/>
              <w:rPr>
                <w:sz w:val="26"/>
              </w:rPr>
            </w:pPr>
            <w:r w:rsidRPr="002D5179">
              <w:rPr>
                <w:sz w:val="26"/>
                <w:rtl/>
              </w:rPr>
              <w:t>1.</w:t>
            </w:r>
          </w:p>
        </w:tc>
        <w:tc>
          <w:tcPr>
            <w:tcW w:w="7143" w:type="dxa"/>
            <w:hideMark/>
          </w:tcPr>
          <w:p w:rsidRPr="002D5179" w:rsidR="00C90EC4" w:rsidP="008D2182" w:rsidRDefault="00C90EC4" w14:paraId="34BBAA98" w14:textId="77777777">
            <w:pPr>
              <w:pStyle w:val="TableBlock"/>
              <w:rPr>
                <w:b/>
                <w:bCs/>
              </w:rPr>
            </w:pPr>
            <w:r w:rsidRPr="002D5179">
              <w:rPr>
                <w:rtl/>
              </w:rPr>
              <w:t xml:space="preserve">בחוק </w:t>
            </w:r>
            <w:r w:rsidRPr="008D2182">
              <w:rPr>
                <w:rtl/>
              </w:rPr>
              <w:t>זכויות</w:t>
            </w:r>
            <w:r w:rsidRPr="002D5179">
              <w:rPr>
                <w:rtl/>
              </w:rPr>
              <w:t xml:space="preserve"> נפגעי עבירה, התשס"א–2001</w:t>
            </w:r>
            <w:r w:rsidRPr="008D2182">
              <w:rPr>
                <w:rStyle w:val="a6"/>
                <w:rFonts w:ascii="David" w:hAnsi="David"/>
                <w:sz w:val="26"/>
                <w:rtl/>
              </w:rPr>
              <w:footnoteReference w:id="2"/>
            </w:r>
            <w:r w:rsidRPr="002D5179">
              <w:rPr>
                <w:rtl/>
              </w:rPr>
              <w:t xml:space="preserve"> (להלן – החוק העיקרי), בתוספת השנייה</w:t>
            </w:r>
            <w:r>
              <w:rPr>
                <w:rFonts w:hint="cs"/>
                <w:rtl/>
              </w:rPr>
              <w:t>,</w:t>
            </w:r>
            <w:r w:rsidRPr="002D5179">
              <w:rPr>
                <w:rtl/>
              </w:rPr>
              <w:t xml:space="preserve"> אחרי פרט 10 יבוא –</w:t>
            </w:r>
          </w:p>
        </w:tc>
      </w:tr>
      <w:tr w:rsidRPr="002D5179" w:rsidR="00C90EC4" w:rsidTr="008D2182" w14:paraId="7DFE0995" w14:textId="77777777">
        <w:trPr>
          <w:cantSplit/>
        </w:trPr>
        <w:tc>
          <w:tcPr>
            <w:tcW w:w="1871" w:type="dxa"/>
          </w:tcPr>
          <w:p w:rsidRPr="002D5179" w:rsidR="00C90EC4" w:rsidP="00596ED6" w:rsidRDefault="00C90EC4" w14:paraId="08DB3DFB" w14:textId="77777777">
            <w:pPr>
              <w:pStyle w:val="TableSideHeading"/>
              <w:keepLines w:val="0"/>
              <w:rPr>
                <w:sz w:val="26"/>
              </w:rPr>
            </w:pPr>
          </w:p>
        </w:tc>
        <w:tc>
          <w:tcPr>
            <w:tcW w:w="624" w:type="dxa"/>
          </w:tcPr>
          <w:p w:rsidRPr="002D5179" w:rsidR="00C90EC4" w:rsidP="00596ED6" w:rsidRDefault="00C90EC4" w14:paraId="5DE57F21" w14:textId="77777777">
            <w:pPr>
              <w:pStyle w:val="TableText"/>
              <w:keepLines w:val="0"/>
              <w:rPr>
                <w:sz w:val="26"/>
                <w:rtl/>
              </w:rPr>
            </w:pPr>
          </w:p>
        </w:tc>
        <w:tc>
          <w:tcPr>
            <w:tcW w:w="7143" w:type="dxa"/>
            <w:hideMark/>
          </w:tcPr>
          <w:p w:rsidRPr="002D5179" w:rsidR="00C90EC4" w:rsidP="008D2182" w:rsidRDefault="00C90EC4" w14:paraId="484AF0A0" w14:textId="77777777">
            <w:pPr>
              <w:pStyle w:val="TableBlock"/>
              <w:rPr>
                <w:sz w:val="26"/>
                <w:rtl/>
              </w:rPr>
            </w:pPr>
            <w:r w:rsidRPr="002D5179">
              <w:rPr>
                <w:sz w:val="26"/>
                <w:rtl/>
              </w:rPr>
              <w:t>"(11)</w:t>
            </w:r>
            <w:r w:rsidRPr="002D5179">
              <w:rPr>
                <w:sz w:val="26"/>
              </w:rPr>
              <w:tab/>
            </w:r>
            <w:r w:rsidRPr="002D5179">
              <w:rPr>
                <w:sz w:val="26"/>
                <w:rtl/>
              </w:rPr>
              <w:t>בקשת המורשע למשפט חוזר</w:t>
            </w:r>
            <w:r w:rsidRPr="002D5179">
              <w:rPr>
                <w:rFonts w:ascii="David" w:hAnsi="David"/>
                <w:sz w:val="26"/>
              </w:rPr>
              <w:t>;</w:t>
            </w:r>
            <w:r w:rsidRPr="002D5179">
              <w:rPr>
                <w:sz w:val="26"/>
                <w:rtl/>
              </w:rPr>
              <w:t xml:space="preserve"> </w:t>
            </w:r>
            <w:r w:rsidRPr="002D5179">
              <w:rPr>
                <w:rFonts w:hint="cs"/>
                <w:sz w:val="26"/>
                <w:rtl/>
              </w:rPr>
              <w:t>התובע</w:t>
            </w:r>
            <w:r w:rsidRPr="002D5179">
              <w:rPr>
                <w:rFonts w:ascii="David" w:hAnsi="David"/>
                <w:sz w:val="26"/>
              </w:rPr>
              <w:t>;</w:t>
            </w:r>
          </w:p>
        </w:tc>
      </w:tr>
      <w:tr w:rsidRPr="002D5179" w:rsidR="00C90EC4" w:rsidTr="008D2182" w14:paraId="32136EEB" w14:textId="77777777">
        <w:trPr>
          <w:cantSplit/>
        </w:trPr>
        <w:tc>
          <w:tcPr>
            <w:tcW w:w="1871" w:type="dxa"/>
          </w:tcPr>
          <w:p w:rsidRPr="002D5179" w:rsidR="00C90EC4" w:rsidP="00596ED6" w:rsidRDefault="00C90EC4" w14:paraId="15C282B5" w14:textId="77777777">
            <w:pPr>
              <w:pStyle w:val="TableSideHeading"/>
              <w:keepLines w:val="0"/>
              <w:rPr>
                <w:sz w:val="26"/>
              </w:rPr>
            </w:pPr>
          </w:p>
        </w:tc>
        <w:tc>
          <w:tcPr>
            <w:tcW w:w="624" w:type="dxa"/>
          </w:tcPr>
          <w:p w:rsidRPr="002D5179" w:rsidR="00C90EC4" w:rsidP="00596ED6" w:rsidRDefault="00C90EC4" w14:paraId="621D0AAE" w14:textId="77777777">
            <w:pPr>
              <w:pStyle w:val="TableText"/>
              <w:rPr>
                <w:sz w:val="26"/>
                <w:rtl/>
              </w:rPr>
            </w:pPr>
          </w:p>
        </w:tc>
        <w:tc>
          <w:tcPr>
            <w:tcW w:w="7143" w:type="dxa"/>
            <w:hideMark/>
          </w:tcPr>
          <w:p w:rsidRPr="002D5179" w:rsidR="00C90EC4" w:rsidP="008D2182" w:rsidRDefault="00C90EC4" w14:paraId="0F2FA681" w14:textId="77777777">
            <w:pPr>
              <w:pStyle w:val="TableBlock"/>
              <w:rPr>
                <w:sz w:val="26"/>
                <w:rtl/>
              </w:rPr>
            </w:pPr>
            <w:r>
              <w:rPr>
                <w:rFonts w:hint="cs"/>
                <w:sz w:val="26"/>
                <w:rtl/>
              </w:rPr>
              <w:t>(</w:t>
            </w:r>
            <w:r w:rsidRPr="002D5179">
              <w:rPr>
                <w:sz w:val="26"/>
                <w:rtl/>
              </w:rPr>
              <w:t>12)</w:t>
            </w:r>
            <w:r w:rsidRPr="002D5179">
              <w:rPr>
                <w:sz w:val="26"/>
                <w:rtl/>
              </w:rPr>
              <w:tab/>
              <w:t xml:space="preserve"> ההחלטה לקיים משפט חוזר</w:t>
            </w:r>
            <w:r w:rsidRPr="002D5179">
              <w:rPr>
                <w:rFonts w:ascii="David" w:hAnsi="David"/>
                <w:sz w:val="26"/>
              </w:rPr>
              <w:t>;</w:t>
            </w:r>
            <w:r w:rsidRPr="002D5179">
              <w:rPr>
                <w:sz w:val="26"/>
                <w:rtl/>
              </w:rPr>
              <w:t xml:space="preserve"> </w:t>
            </w:r>
            <w:r w:rsidRPr="002D5179">
              <w:rPr>
                <w:rFonts w:hint="cs"/>
                <w:sz w:val="26"/>
                <w:rtl/>
              </w:rPr>
              <w:t>התובע</w:t>
            </w:r>
            <w:r w:rsidRPr="002D5179">
              <w:rPr>
                <w:rFonts w:ascii="David" w:hAnsi="David"/>
                <w:sz w:val="26"/>
              </w:rPr>
              <w:t>;</w:t>
            </w:r>
          </w:p>
        </w:tc>
      </w:tr>
      <w:tr w:rsidRPr="002D5179" w:rsidR="00C90EC4" w:rsidTr="008D2182" w14:paraId="664EBDC1" w14:textId="77777777">
        <w:trPr>
          <w:cantSplit/>
        </w:trPr>
        <w:tc>
          <w:tcPr>
            <w:tcW w:w="1871" w:type="dxa"/>
          </w:tcPr>
          <w:p w:rsidRPr="002D5179" w:rsidR="00C90EC4" w:rsidP="00596ED6" w:rsidRDefault="00C90EC4" w14:paraId="2E92EEDC" w14:textId="77777777">
            <w:pPr>
              <w:pStyle w:val="TableSideHeading"/>
              <w:keepLines w:val="0"/>
              <w:rPr>
                <w:sz w:val="26"/>
                <w:rtl/>
              </w:rPr>
            </w:pPr>
          </w:p>
        </w:tc>
        <w:tc>
          <w:tcPr>
            <w:tcW w:w="624" w:type="dxa"/>
          </w:tcPr>
          <w:p w:rsidRPr="002D5179" w:rsidR="00C90EC4" w:rsidP="00596ED6" w:rsidRDefault="00C90EC4" w14:paraId="55E23E52" w14:textId="77777777">
            <w:pPr>
              <w:pStyle w:val="TableText"/>
              <w:rPr>
                <w:sz w:val="26"/>
                <w:rtl/>
              </w:rPr>
            </w:pPr>
          </w:p>
        </w:tc>
        <w:tc>
          <w:tcPr>
            <w:tcW w:w="7143" w:type="dxa"/>
            <w:hideMark/>
          </w:tcPr>
          <w:p w:rsidRPr="002D5179" w:rsidR="00C90EC4" w:rsidP="008D2182" w:rsidRDefault="00C90EC4" w14:paraId="637DA5CE" w14:textId="77777777">
            <w:pPr>
              <w:pStyle w:val="TableBlock"/>
              <w:rPr>
                <w:sz w:val="26"/>
                <w:rtl/>
              </w:rPr>
            </w:pPr>
            <w:r w:rsidRPr="002D5179">
              <w:rPr>
                <w:sz w:val="26"/>
                <w:rtl/>
              </w:rPr>
              <w:t>(13)     בקשת המורשע  לדיון נוסף</w:t>
            </w:r>
            <w:r w:rsidRPr="002D5179">
              <w:rPr>
                <w:rFonts w:ascii="David" w:hAnsi="David"/>
                <w:sz w:val="26"/>
              </w:rPr>
              <w:t>;</w:t>
            </w:r>
            <w:r w:rsidRPr="002D5179">
              <w:rPr>
                <w:sz w:val="26"/>
                <w:rtl/>
              </w:rPr>
              <w:t xml:space="preserve"> </w:t>
            </w:r>
            <w:r w:rsidRPr="002D5179">
              <w:rPr>
                <w:rFonts w:hint="cs"/>
                <w:sz w:val="26"/>
                <w:rtl/>
              </w:rPr>
              <w:t>התובע</w:t>
            </w:r>
            <w:r w:rsidRPr="002D5179">
              <w:rPr>
                <w:rFonts w:ascii="David" w:hAnsi="David"/>
                <w:sz w:val="26"/>
              </w:rPr>
              <w:t>;</w:t>
            </w:r>
          </w:p>
        </w:tc>
      </w:tr>
      <w:tr w:rsidRPr="002D5179" w:rsidR="00C90EC4" w:rsidTr="008D2182" w14:paraId="0155C6B4" w14:textId="77777777">
        <w:trPr>
          <w:cantSplit/>
        </w:trPr>
        <w:tc>
          <w:tcPr>
            <w:tcW w:w="1871" w:type="dxa"/>
          </w:tcPr>
          <w:p w:rsidRPr="002D5179" w:rsidR="00C90EC4" w:rsidP="00596ED6" w:rsidRDefault="00C90EC4" w14:paraId="75D280DB" w14:textId="77777777">
            <w:pPr>
              <w:pStyle w:val="TableSideHeading"/>
              <w:keepLines w:val="0"/>
              <w:rPr>
                <w:sz w:val="26"/>
                <w:rtl/>
              </w:rPr>
            </w:pPr>
          </w:p>
        </w:tc>
        <w:tc>
          <w:tcPr>
            <w:tcW w:w="624" w:type="dxa"/>
          </w:tcPr>
          <w:p w:rsidRPr="002D5179" w:rsidR="00C90EC4" w:rsidP="00596ED6" w:rsidRDefault="00C90EC4" w14:paraId="27A65968" w14:textId="77777777">
            <w:pPr>
              <w:pStyle w:val="TableText"/>
              <w:rPr>
                <w:sz w:val="26"/>
                <w:rtl/>
              </w:rPr>
            </w:pPr>
          </w:p>
        </w:tc>
        <w:tc>
          <w:tcPr>
            <w:tcW w:w="7143" w:type="dxa"/>
            <w:hideMark/>
          </w:tcPr>
          <w:p w:rsidRPr="002D5179" w:rsidR="00C90EC4" w:rsidP="008D2182" w:rsidRDefault="00C90EC4" w14:paraId="33C0AA65" w14:textId="77777777">
            <w:pPr>
              <w:pStyle w:val="TableBlock"/>
              <w:rPr>
                <w:sz w:val="26"/>
                <w:rtl/>
              </w:rPr>
            </w:pPr>
            <w:r>
              <w:rPr>
                <w:rFonts w:hint="cs"/>
                <w:sz w:val="26"/>
                <w:rtl/>
              </w:rPr>
              <w:t>(</w:t>
            </w:r>
            <w:r w:rsidRPr="002D5179">
              <w:rPr>
                <w:sz w:val="26"/>
                <w:rtl/>
              </w:rPr>
              <w:t>14)      ההחלטה לקיים דיון נוסף</w:t>
            </w:r>
            <w:r>
              <w:rPr>
                <w:rFonts w:hint="cs" w:ascii="David" w:hAnsi="David"/>
                <w:sz w:val="26"/>
                <w:rtl/>
              </w:rPr>
              <w:t>;</w:t>
            </w:r>
            <w:r w:rsidRPr="002D5179">
              <w:rPr>
                <w:rFonts w:ascii="David" w:hAnsi="David"/>
                <w:sz w:val="26"/>
                <w:rtl/>
              </w:rPr>
              <w:t xml:space="preserve"> התובע</w:t>
            </w:r>
            <w:r>
              <w:rPr>
                <w:rFonts w:hint="cs"/>
                <w:sz w:val="26"/>
                <w:rtl/>
              </w:rPr>
              <w:t>."</w:t>
            </w:r>
          </w:p>
        </w:tc>
      </w:tr>
      <w:tr w:rsidRPr="002D5179" w:rsidR="00C90EC4" w:rsidTr="008D2182" w14:paraId="60311350" w14:textId="77777777">
        <w:trPr>
          <w:cantSplit/>
        </w:trPr>
        <w:tc>
          <w:tcPr>
            <w:tcW w:w="1871" w:type="dxa"/>
            <w:hideMark/>
          </w:tcPr>
          <w:p w:rsidRPr="002D5179" w:rsidR="00C90EC4" w:rsidP="00596ED6" w:rsidRDefault="00C90EC4" w14:paraId="52B48AFB" w14:textId="77777777">
            <w:pPr>
              <w:pStyle w:val="TableSideHeading"/>
              <w:keepLines w:val="0"/>
              <w:rPr>
                <w:sz w:val="26"/>
                <w:rtl/>
              </w:rPr>
            </w:pPr>
            <w:r w:rsidRPr="002D5179">
              <w:rPr>
                <w:rFonts w:hint="cs"/>
                <w:sz w:val="26"/>
                <w:rtl/>
              </w:rPr>
              <w:t>תיקון התוספת הרביעית</w:t>
            </w:r>
          </w:p>
        </w:tc>
        <w:tc>
          <w:tcPr>
            <w:tcW w:w="624" w:type="dxa"/>
            <w:hideMark/>
          </w:tcPr>
          <w:p w:rsidRPr="002D5179" w:rsidR="00C90EC4" w:rsidP="00596ED6" w:rsidRDefault="00C90EC4" w14:paraId="7344A3BC" w14:textId="77777777">
            <w:pPr>
              <w:pStyle w:val="TableText"/>
              <w:rPr>
                <w:sz w:val="26"/>
                <w:rtl/>
              </w:rPr>
            </w:pPr>
            <w:r w:rsidRPr="002D5179">
              <w:rPr>
                <w:sz w:val="26"/>
                <w:rtl/>
              </w:rPr>
              <w:t>2.</w:t>
            </w:r>
          </w:p>
        </w:tc>
        <w:tc>
          <w:tcPr>
            <w:tcW w:w="7143" w:type="dxa"/>
            <w:hideMark/>
          </w:tcPr>
          <w:p w:rsidRPr="002D5179" w:rsidR="00C90EC4" w:rsidP="008D2182" w:rsidRDefault="00C90EC4" w14:paraId="2B4A65D3" w14:textId="54F18000">
            <w:pPr>
              <w:pStyle w:val="TableBlock"/>
              <w:rPr>
                <w:sz w:val="26"/>
                <w:rtl/>
              </w:rPr>
            </w:pPr>
            <w:r w:rsidRPr="002D5179">
              <w:rPr>
                <w:rFonts w:hint="cs"/>
                <w:sz w:val="26"/>
                <w:rtl/>
              </w:rPr>
              <w:t>בתוספת הרביעית לחוק העיקרי, בפרט 6, בטור הימני בסופו יבוא "וכן מידע בדבר אפשרותו של הנפגע להגיש בקשה להוצאת צו המגביל חזרת עבריין מין לסביבת הנפגע בהתאם להוראות חוק מגבלות על חזרתו של עבריין מין לסביבת נפגע העבירה, התשס"ה</w:t>
            </w:r>
            <w:r w:rsidRPr="002D5179">
              <w:rPr>
                <w:rFonts w:hint="eastAsia"/>
                <w:sz w:val="26"/>
                <w:rtl/>
              </w:rPr>
              <w:t>–</w:t>
            </w:r>
            <w:r w:rsidRPr="002D5179">
              <w:rPr>
                <w:rFonts w:hint="cs"/>
                <w:sz w:val="26"/>
                <w:rtl/>
              </w:rPr>
              <w:t>2004</w:t>
            </w:r>
            <w:r w:rsidRPr="008D2182">
              <w:rPr>
                <w:rStyle w:val="a6"/>
                <w:rFonts w:ascii="David" w:hAnsi="David"/>
                <w:sz w:val="26"/>
                <w:rtl/>
              </w:rPr>
              <w:footnoteReference w:id="3"/>
            </w:r>
            <w:r w:rsidR="008D2182">
              <w:rPr>
                <w:rFonts w:hint="cs"/>
                <w:sz w:val="26"/>
                <w:rtl/>
              </w:rPr>
              <w:t>,</w:t>
            </w:r>
            <w:r w:rsidRPr="002D5179">
              <w:rPr>
                <w:rFonts w:hint="cs"/>
                <w:sz w:val="26"/>
                <w:rtl/>
              </w:rPr>
              <w:t xml:space="preserve"> ועל זכאותו לסיוע משפטי בהליך בהתאם להוראות חוק הסיוע המשפטי, התשל"ב</w:t>
            </w:r>
            <w:r w:rsidRPr="002D5179">
              <w:rPr>
                <w:rFonts w:hint="eastAsia"/>
                <w:sz w:val="26"/>
                <w:rtl/>
              </w:rPr>
              <w:t>–</w:t>
            </w:r>
            <w:r w:rsidRPr="002D5179">
              <w:rPr>
                <w:rFonts w:hint="cs"/>
                <w:sz w:val="26"/>
                <w:rtl/>
              </w:rPr>
              <w:t>1972</w:t>
            </w:r>
            <w:r w:rsidRPr="008D2182">
              <w:rPr>
                <w:rStyle w:val="a6"/>
                <w:rFonts w:ascii="David" w:hAnsi="David"/>
                <w:sz w:val="26"/>
                <w:rtl/>
              </w:rPr>
              <w:footnoteReference w:id="4"/>
            </w:r>
            <w:r w:rsidRPr="002D5179">
              <w:rPr>
                <w:rFonts w:hint="cs"/>
                <w:sz w:val="26"/>
                <w:rtl/>
              </w:rPr>
              <w:t>."</w:t>
            </w:r>
          </w:p>
        </w:tc>
      </w:tr>
    </w:tbl>
    <w:p w:rsidR="00C90EC4" w:rsidP="00C90EC4" w:rsidRDefault="00C90EC4" w14:paraId="55BEBEBA" w14:textId="77777777">
      <w:pPr>
        <w:snapToGrid w:val="0"/>
        <w:spacing w:before="360" w:after="120"/>
        <w:outlineLvl w:val="1"/>
        <w:rPr>
          <w:rFonts w:ascii="Arial" w:hAnsi="Arial" w:eastAsia="Arial Unicode MS"/>
          <w:b/>
          <w:snapToGrid w:val="0"/>
          <w:spacing w:val="40"/>
          <w:sz w:val="20"/>
          <w:szCs w:val="26"/>
          <w:rtl/>
        </w:rPr>
      </w:pPr>
    </w:p>
    <w:p w:rsidRPr="00747803" w:rsidR="00C90EC4" w:rsidP="00C90EC4" w:rsidRDefault="00C90EC4" w14:paraId="11A7B72C" w14:textId="77777777">
      <w:pPr>
        <w:snapToGrid w:val="0"/>
        <w:spacing w:before="360" w:after="120"/>
        <w:jc w:val="center"/>
        <w:outlineLvl w:val="1"/>
        <w:rPr>
          <w:rFonts w:ascii="Arial" w:hAnsi="Arial" w:eastAsia="Arial Unicode MS"/>
          <w:b/>
          <w:snapToGrid w:val="0"/>
          <w:spacing w:val="40"/>
          <w:sz w:val="20"/>
          <w:szCs w:val="26"/>
          <w:rtl/>
        </w:rPr>
      </w:pPr>
      <w:r w:rsidRPr="00747803">
        <w:rPr>
          <w:rFonts w:hint="cs" w:ascii="Arial" w:hAnsi="Arial" w:eastAsia="Arial Unicode MS"/>
          <w:b/>
          <w:snapToGrid w:val="0"/>
          <w:spacing w:val="40"/>
          <w:sz w:val="20"/>
          <w:szCs w:val="26"/>
          <w:rtl/>
        </w:rPr>
        <w:t>דברי הסבר</w:t>
      </w:r>
    </w:p>
    <w:p w:rsidRPr="00DE7294" w:rsidR="00C90EC4" w:rsidP="008D2182" w:rsidRDefault="00C90EC4" w14:paraId="6A2ABF0A" w14:textId="4A216500">
      <w:pPr>
        <w:pStyle w:val="Hesber"/>
        <w:rPr>
          <w:rtl/>
        </w:rPr>
      </w:pPr>
      <w:r w:rsidRPr="00DE7294">
        <w:rPr>
          <w:rFonts w:hint="cs"/>
          <w:rtl/>
        </w:rPr>
        <w:t xml:space="preserve">חוק זכויות נפגעי עבירה, </w:t>
      </w:r>
      <w:r>
        <w:rPr>
          <w:rFonts w:hint="cs"/>
          <w:rtl/>
        </w:rPr>
        <w:t>ה</w:t>
      </w:r>
      <w:r w:rsidRPr="00DE7294">
        <w:rPr>
          <w:rFonts w:hint="cs"/>
          <w:rtl/>
        </w:rPr>
        <w:t>תשס"א</w:t>
      </w:r>
      <w:r>
        <w:rPr>
          <w:rtl/>
        </w:rPr>
        <w:softHyphen/>
        <w:t>–</w:t>
      </w:r>
      <w:r>
        <w:rPr>
          <w:rFonts w:hint="cs"/>
          <w:rtl/>
        </w:rPr>
        <w:t xml:space="preserve">2001 (להלן </w:t>
      </w:r>
      <w:r>
        <w:rPr>
          <w:rtl/>
        </w:rPr>
        <w:t>–</w:t>
      </w:r>
      <w:r w:rsidR="008D2182">
        <w:rPr>
          <w:rFonts w:hint="cs"/>
          <w:rtl/>
        </w:rPr>
        <w:t xml:space="preserve"> </w:t>
      </w:r>
      <w:r w:rsidRPr="00DE7294">
        <w:rPr>
          <w:rFonts w:hint="cs"/>
          <w:rtl/>
        </w:rPr>
        <w:t>החוק)</w:t>
      </w:r>
      <w:r w:rsidR="008D2182">
        <w:rPr>
          <w:rFonts w:hint="cs"/>
          <w:rtl/>
        </w:rPr>
        <w:t>,</w:t>
      </w:r>
      <w:r w:rsidRPr="00DE7294">
        <w:rPr>
          <w:rFonts w:hint="cs"/>
          <w:rtl/>
        </w:rPr>
        <w:t xml:space="preserve"> מעגן את זכותם של נפגעי עבירות מין ליידוע על הליכים משפטיים. יחד עם זאת, החוק בנוסחו הנוכ</w:t>
      </w:r>
      <w:r>
        <w:rPr>
          <w:rFonts w:hint="cs"/>
          <w:rtl/>
        </w:rPr>
        <w:t xml:space="preserve">חי לא מבטיח זכות יידוע לגבי </w:t>
      </w:r>
      <w:r w:rsidRPr="00DE7294">
        <w:rPr>
          <w:rFonts w:hint="cs"/>
          <w:rtl/>
        </w:rPr>
        <w:t xml:space="preserve">הבאים: בקשת המורשע למשפט חוזר, ההחלטה בבקשה, בקשת המורשע לדיון נוסף וההחלטה בה. </w:t>
      </w:r>
    </w:p>
    <w:p w:rsidRPr="00DE7294" w:rsidR="00C90EC4" w:rsidP="00C90EC4" w:rsidRDefault="00C90EC4" w14:paraId="04EFDB59" w14:textId="267EAE55">
      <w:pPr>
        <w:pStyle w:val="Hesber"/>
        <w:rPr>
          <w:rtl/>
        </w:rPr>
      </w:pPr>
      <w:r w:rsidRPr="00DE7294">
        <w:rPr>
          <w:rFonts w:hint="cs"/>
          <w:rtl/>
        </w:rPr>
        <w:t>בנוסף, החוק בנוסחו כיום אינו מבטיח כי נפגע עבירת המין יי</w:t>
      </w:r>
      <w:r>
        <w:rPr>
          <w:rFonts w:hint="cs"/>
          <w:rtl/>
        </w:rPr>
        <w:t>וד</w:t>
      </w:r>
      <w:r w:rsidRPr="00DE7294">
        <w:rPr>
          <w:rFonts w:hint="cs"/>
          <w:rtl/>
        </w:rPr>
        <w:t xml:space="preserve">ע </w:t>
      </w:r>
      <w:r w:rsidRPr="00DE7294">
        <w:rPr>
          <w:rtl/>
        </w:rPr>
        <w:t>בדבר זכותו להגיש בקשה להוצאת צו לפי חוק מגבלות על חזרתו של עבריין מין לסביבת נפגע העבירה, התשס"ה</w:t>
      </w:r>
      <w:r>
        <w:rPr>
          <w:rtl/>
        </w:rPr>
        <w:t>–</w:t>
      </w:r>
      <w:r w:rsidRPr="00DE7294">
        <w:rPr>
          <w:rtl/>
        </w:rPr>
        <w:t>2004</w:t>
      </w:r>
      <w:r w:rsidR="008D2182">
        <w:rPr>
          <w:rFonts w:hint="cs"/>
          <w:rtl/>
        </w:rPr>
        <w:t>,</w:t>
      </w:r>
      <w:r w:rsidRPr="00DE7294">
        <w:rPr>
          <w:rtl/>
        </w:rPr>
        <w:t xml:space="preserve"> ועל זכאותו לסיוע </w:t>
      </w:r>
      <w:r w:rsidRPr="00DE7294">
        <w:rPr>
          <w:rtl/>
        </w:rPr>
        <w:lastRenderedPageBreak/>
        <w:t>משפטי בהליך זה.</w:t>
      </w:r>
      <w:r>
        <w:rPr>
          <w:rFonts w:hint="cs"/>
          <w:rtl/>
        </w:rPr>
        <w:t xml:space="preserve"> </w:t>
      </w:r>
      <w:r w:rsidRPr="00DE7294">
        <w:rPr>
          <w:rFonts w:hint="cs"/>
          <w:rtl/>
        </w:rPr>
        <w:t>צו</w:t>
      </w:r>
      <w:r>
        <w:rPr>
          <w:rFonts w:hint="cs"/>
          <w:rtl/>
        </w:rPr>
        <w:t>רך זה בהרחבת זכות היידוע עולה</w:t>
      </w:r>
      <w:r w:rsidRPr="00DE7294">
        <w:rPr>
          <w:rFonts w:hint="cs"/>
          <w:rtl/>
        </w:rPr>
        <w:t xml:space="preserve"> מדו"ח הוועדה הבין-משרדי</w:t>
      </w:r>
      <w:r w:rsidRPr="00DE7294">
        <w:rPr>
          <w:rFonts w:hint="eastAsia"/>
          <w:rtl/>
        </w:rPr>
        <w:t>ת</w:t>
      </w:r>
      <w:r w:rsidRPr="00DE7294">
        <w:rPr>
          <w:rFonts w:hint="cs"/>
          <w:rtl/>
        </w:rPr>
        <w:t xml:space="preserve"> לבחינת הטיפול בנפגעי עבירות מין בהליך הפלילי (דו"ח ברלינר).</w:t>
      </w:r>
    </w:p>
    <w:p w:rsidRPr="00DE7294" w:rsidR="00C90EC4" w:rsidP="00C90EC4" w:rsidRDefault="00C90EC4" w14:paraId="00BE8A5A" w14:textId="77777777">
      <w:pPr>
        <w:pStyle w:val="Hesber"/>
        <w:rPr>
          <w:rtl/>
        </w:rPr>
      </w:pPr>
      <w:r w:rsidRPr="00DE7294">
        <w:rPr>
          <w:rFonts w:hint="cs"/>
          <w:rtl/>
        </w:rPr>
        <w:t xml:space="preserve">על כן, מוצע להרחיב את הזכות של נפגעי עבירות מין ליידוע באופן הבא: </w:t>
      </w:r>
    </w:p>
    <w:p w:rsidRPr="00DE7294" w:rsidR="00C90EC4" w:rsidP="00C90EC4" w:rsidRDefault="00C90EC4" w14:paraId="28CE47D5" w14:textId="77777777">
      <w:pPr>
        <w:pStyle w:val="Hesber"/>
        <w:rPr>
          <w:rtl/>
        </w:rPr>
      </w:pPr>
      <w:r w:rsidRPr="00DE7294">
        <w:rPr>
          <w:rFonts w:hint="cs"/>
          <w:rtl/>
        </w:rPr>
        <w:t xml:space="preserve">מוצע </w:t>
      </w:r>
      <w:r w:rsidRPr="00DE7294">
        <w:rPr>
          <w:rtl/>
        </w:rPr>
        <w:t>להוסיף זכות יידוע לנפגע העבירה על בקשת המורשע למשפט חוזר ועל ההחלטה לקיים משפט חוזר וכן על הבקשה לדיון נוסף ועל ההחלטה לקיים משפט דיון נוסף</w:t>
      </w:r>
      <w:r w:rsidRPr="00DE7294">
        <w:rPr>
          <w:rFonts w:hint="cs"/>
          <w:rtl/>
        </w:rPr>
        <w:t xml:space="preserve"> על דרך תיקון לתוספת השנייה לחוק. </w:t>
      </w:r>
    </w:p>
    <w:p w:rsidR="00C90EC4" w:rsidP="00C90EC4" w:rsidRDefault="00C90EC4" w14:paraId="0CA68582" w14:textId="7E2C904E">
      <w:pPr>
        <w:pStyle w:val="Hesber"/>
        <w:rPr>
          <w:rtl/>
        </w:rPr>
      </w:pPr>
      <w:r>
        <w:rPr>
          <w:rFonts w:hint="cs"/>
          <w:rtl/>
        </w:rPr>
        <w:t xml:space="preserve">כמו כן, מוצע </w:t>
      </w:r>
      <w:r w:rsidRPr="00F06B50">
        <w:rPr>
          <w:rtl/>
        </w:rPr>
        <w:t>ל</w:t>
      </w:r>
      <w:r>
        <w:rPr>
          <w:rFonts w:hint="cs"/>
          <w:rtl/>
        </w:rPr>
        <w:t>תקן את התוספת הרביעית לחוק ול</w:t>
      </w:r>
      <w:r>
        <w:rPr>
          <w:rtl/>
        </w:rPr>
        <w:t xml:space="preserve">קבוע </w:t>
      </w:r>
      <w:r>
        <w:rPr>
          <w:rFonts w:hint="cs"/>
          <w:rtl/>
        </w:rPr>
        <w:t xml:space="preserve">חובת </w:t>
      </w:r>
      <w:r w:rsidRPr="00F06B50">
        <w:rPr>
          <w:rtl/>
        </w:rPr>
        <w:t>יידוע של נפגע ע</w:t>
      </w:r>
      <w:r>
        <w:rPr>
          <w:rFonts w:hint="cs"/>
          <w:rtl/>
        </w:rPr>
        <w:t>בירה</w:t>
      </w:r>
      <w:r>
        <w:rPr>
          <w:rtl/>
        </w:rPr>
        <w:t xml:space="preserve"> </w:t>
      </w:r>
      <w:r w:rsidRPr="00F06B50">
        <w:rPr>
          <w:rtl/>
        </w:rPr>
        <w:t xml:space="preserve">בדבר </w:t>
      </w:r>
      <w:r>
        <w:rPr>
          <w:rFonts w:hint="cs"/>
          <w:rtl/>
        </w:rPr>
        <w:t xml:space="preserve">אפשרותו </w:t>
      </w:r>
      <w:r w:rsidRPr="00F06B50">
        <w:rPr>
          <w:rtl/>
        </w:rPr>
        <w:t>להגיש בקשה להוצאת צו לפי חוק מגבלות על חזרתו של עבריין מין לסביבת נפגע העבירה, התשס"ה</w:t>
      </w:r>
      <w:r>
        <w:rPr>
          <w:rFonts w:hint="cs"/>
          <w:rtl/>
        </w:rPr>
        <w:t>–</w:t>
      </w:r>
      <w:r w:rsidRPr="00F06B50">
        <w:rPr>
          <w:rtl/>
        </w:rPr>
        <w:t>2004</w:t>
      </w:r>
      <w:r w:rsidR="008D2182">
        <w:rPr>
          <w:rFonts w:hint="cs"/>
          <w:rtl/>
        </w:rPr>
        <w:t>,</w:t>
      </w:r>
      <w:r w:rsidRPr="00F06B50">
        <w:rPr>
          <w:rtl/>
        </w:rPr>
        <w:t xml:space="preserve"> ועל זכאותו לסיוע משפטי בהליך זה</w:t>
      </w:r>
      <w:r>
        <w:rPr>
          <w:rFonts w:hint="cs"/>
          <w:rtl/>
        </w:rPr>
        <w:t xml:space="preserve"> בכפוף להוראות חוק הסיוע המשפטי, התשל"ב</w:t>
      </w:r>
      <w:r>
        <w:rPr>
          <w:rFonts w:hint="eastAsia"/>
          <w:rtl/>
        </w:rPr>
        <w:t>–</w:t>
      </w:r>
      <w:r>
        <w:rPr>
          <w:rFonts w:hint="cs"/>
          <w:rtl/>
        </w:rPr>
        <w:t>1972</w:t>
      </w:r>
      <w:r w:rsidRPr="00F06B50">
        <w:rPr>
          <w:rtl/>
        </w:rPr>
        <w:t>.</w:t>
      </w:r>
    </w:p>
    <w:p w:rsidR="00C90EC4" w:rsidP="008D2182" w:rsidRDefault="00C90EC4" w14:paraId="1CF4CF00" w14:textId="04CB7CC8">
      <w:pPr>
        <w:pStyle w:val="Hesber"/>
        <w:rPr>
          <w:rtl/>
        </w:rPr>
      </w:pPr>
      <w:r>
        <w:rPr>
          <w:rFonts w:hint="cs"/>
          <w:rtl/>
        </w:rPr>
        <w:t>הצעת חוק זהה הונחה על שולחן הכנסת העשרים וארבע על י</w:t>
      </w:r>
      <w:r w:rsidR="00062468">
        <w:rPr>
          <w:rFonts w:hint="cs"/>
          <w:rtl/>
        </w:rPr>
        <w:t>די חברת הכנסת עאידה תומא</w:t>
      </w:r>
      <w:r w:rsidR="008D2182">
        <w:rPr>
          <w:rFonts w:hint="cs"/>
          <w:rtl/>
        </w:rPr>
        <w:t xml:space="preserve"> </w:t>
      </w:r>
      <w:r w:rsidR="00062468">
        <w:rPr>
          <w:rFonts w:hint="cs"/>
          <w:rtl/>
        </w:rPr>
        <w:t xml:space="preserve">סלימאן </w:t>
      </w:r>
      <w:r>
        <w:rPr>
          <w:rFonts w:hint="cs"/>
          <w:rtl/>
        </w:rPr>
        <w:t>(פ/2922/24).</w:t>
      </w:r>
    </w:p>
    <w:p w:rsidR="00062468" w:rsidP="00062468" w:rsidRDefault="00062468" w14:paraId="498E9340" w14:textId="753C95A2">
      <w:pPr>
        <w:pStyle w:val="Hesber"/>
        <w:rPr>
          <w:rtl/>
        </w:rPr>
      </w:pPr>
      <w:r>
        <w:rPr>
          <w:rFonts w:hint="cs"/>
          <w:rtl/>
        </w:rPr>
        <w:t>הצעת החוק זהה לפ/2922/24 ולפיכך לא נבדקה על ידי הלשכה המשפטית של הכנסת.</w:t>
      </w:r>
    </w:p>
    <w:p w:rsidR="008D2182" w:rsidP="00062468" w:rsidRDefault="008D2182" w14:paraId="0D7EA87A" w14:textId="77777777">
      <w:pPr>
        <w:pStyle w:val="Hesber"/>
        <w:rPr>
          <w:rtl/>
        </w:rPr>
      </w:pPr>
    </w:p>
    <w:p w:rsidRPr="00F06B50" w:rsidR="008D2182" w:rsidP="00062468" w:rsidRDefault="008D2182" w14:paraId="4F11FD0D" w14:textId="77777777">
      <w:pPr>
        <w:pStyle w:val="Hesber"/>
        <w:rPr>
          <w:rtl/>
        </w:rPr>
      </w:pPr>
      <w:bookmarkStart w:name="_GoBack" w:id="8"/>
      <w:bookmarkEnd w:id="8"/>
    </w:p>
    <w:p w:rsidR="00E13C27" w:rsidP="0021633A" w:rsidRDefault="00E13C27" w14:paraId="7F6961AE" w14:textId="77777777">
      <w:pPr>
        <w:pStyle w:val="HeadDivreiHesber"/>
        <w:spacing w:before="0" w:after="0"/>
        <w:rPr>
          <w:rtl/>
        </w:rPr>
      </w:pPr>
    </w:p>
    <w:p w:rsidRPr="00C90EC4" w:rsidR="00E13C27" w:rsidP="00E13C27" w:rsidRDefault="00E13C27" w14:paraId="7F6961CB" w14:textId="77777777">
      <w:pPr>
        <w:pStyle w:val="Hesber"/>
        <w:rPr>
          <w:rtl/>
        </w:rPr>
      </w:pPr>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כ"ה בכסלו התשפ"ג</w:t>
          <w:t xml:space="preserve"> (19.12.2022) </w:t>
        </w:r>
      </w:p>
    </w:p>
    <w:sectPr w:rsidRPr="00C90EC4" w:rsidR="00E13C27" w:rsidSect="008D2182">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5C27C598"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8D2182">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8D2182">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6B5C8402" w14:textId="77777777" w:rsidR="00C90EC4" w:rsidRDefault="00C90EC4" w:rsidP="00C90EC4">
      <w:pPr>
        <w:pStyle w:val="a4"/>
        <w:rPr>
          <w:rtl/>
        </w:rPr>
      </w:pPr>
      <w:r>
        <w:rPr>
          <w:rStyle w:val="a6"/>
        </w:rPr>
        <w:footnoteRef/>
      </w:r>
      <w:r>
        <w:rPr>
          <w:rtl/>
        </w:rPr>
        <w:t xml:space="preserve"> </w:t>
      </w:r>
      <w:r>
        <w:rPr>
          <w:rFonts w:hint="cs"/>
          <w:rtl/>
        </w:rPr>
        <w:t>ס"ח התשס"א, עמ' 183.</w:t>
      </w:r>
    </w:p>
  </w:footnote>
  <w:footnote w:id="3">
    <w:p w14:paraId="574136A0" w14:textId="77777777" w:rsidR="00C90EC4" w:rsidRDefault="00C90EC4" w:rsidP="00C90EC4">
      <w:pPr>
        <w:pStyle w:val="a4"/>
      </w:pPr>
      <w:r>
        <w:rPr>
          <w:rStyle w:val="a6"/>
        </w:rPr>
        <w:footnoteRef/>
      </w:r>
      <w:r>
        <w:rPr>
          <w:rtl/>
        </w:rPr>
        <w:t xml:space="preserve"> </w:t>
      </w:r>
      <w:r>
        <w:rPr>
          <w:rFonts w:hint="cs"/>
          <w:rtl/>
        </w:rPr>
        <w:t>ס"ח התשס"ה, עמ' 6.</w:t>
      </w:r>
    </w:p>
  </w:footnote>
  <w:footnote w:id="4">
    <w:p w14:paraId="7BD97DF3" w14:textId="77777777" w:rsidR="00C90EC4" w:rsidRDefault="00C90EC4" w:rsidP="00C90EC4">
      <w:pPr>
        <w:pStyle w:val="a4"/>
      </w:pPr>
      <w:r>
        <w:rPr>
          <w:rStyle w:val="a6"/>
        </w:rPr>
        <w:footnoteRef/>
      </w:r>
      <w:r>
        <w:rPr>
          <w:rtl/>
        </w:rPr>
        <w:t xml:space="preserve"> </w:t>
      </w:r>
      <w:r>
        <w:rPr>
          <w:rFonts w:hint="cs"/>
          <w:rtl/>
        </w:rPr>
        <w:t>ס"ח התשל"ב, עמ' 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2468"/>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D2182"/>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0EC4"/>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DC1DEC06-7B7C-4B94-B661-B2CEB5E1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182"/>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8D2182"/>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8D2182"/>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8D2182"/>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8D2182"/>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8D2182"/>
    <w:pPr>
      <w:spacing w:line="259" w:lineRule="auto"/>
      <w:outlineLvl w:val="4"/>
    </w:pPr>
    <w:rPr>
      <w:color w:val="000000" w:themeColor="text1"/>
    </w:rPr>
  </w:style>
  <w:style w:type="character" w:default="1" w:styleId="a0">
    <w:name w:val="Default Paragraph Font"/>
    <w:uiPriority w:val="1"/>
    <w:semiHidden/>
    <w:unhideWhenUsed/>
    <w:rsid w:val="008D218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8D2182"/>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8D2182"/>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8D2182"/>
    <w:rPr>
      <w:sz w:val="36"/>
      <w:szCs w:val="52"/>
    </w:rPr>
  </w:style>
  <w:style w:type="paragraph" w:customStyle="1" w:styleId="Cover3-Haknesset">
    <w:name w:val="Cover 3-Haknesset"/>
    <w:basedOn w:val="Cover1-Reshumot"/>
    <w:rsid w:val="008D2182"/>
    <w:rPr>
      <w:b/>
      <w:bCs/>
      <w:spacing w:val="60"/>
    </w:rPr>
  </w:style>
  <w:style w:type="paragraph" w:customStyle="1" w:styleId="Cover4-Date">
    <w:name w:val="Cover 4-Date"/>
    <w:basedOn w:val="a"/>
    <w:rsid w:val="008D2182"/>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8D2182"/>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8D2182"/>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8D2182"/>
    <w:pPr>
      <w:spacing w:before="120" w:after="120"/>
    </w:pPr>
    <w:rPr>
      <w:color w:val="FF0000"/>
      <w:w w:val="80"/>
    </w:rPr>
  </w:style>
  <w:style w:type="paragraph" w:styleId="a3">
    <w:name w:val="endnote text"/>
    <w:basedOn w:val="a"/>
    <w:semiHidden/>
    <w:rsid w:val="008D2182"/>
    <w:pPr>
      <w:ind w:left="227" w:hanging="227"/>
    </w:pPr>
    <w:rPr>
      <w:sz w:val="14"/>
      <w:szCs w:val="22"/>
    </w:rPr>
  </w:style>
  <w:style w:type="paragraph" w:customStyle="1" w:styleId="TableText">
    <w:name w:val="Table Text"/>
    <w:basedOn w:val="a"/>
    <w:rsid w:val="008D2182"/>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8D2182"/>
    <w:pPr>
      <w:outlineLvl w:val="2"/>
    </w:pPr>
  </w:style>
  <w:style w:type="paragraph" w:customStyle="1" w:styleId="TableBlock">
    <w:name w:val="Table Block"/>
    <w:basedOn w:val="TableText"/>
    <w:rsid w:val="008D2182"/>
    <w:pPr>
      <w:jc w:val="both"/>
    </w:pPr>
  </w:style>
  <w:style w:type="paragraph" w:customStyle="1" w:styleId="TableHead">
    <w:name w:val="Table Head"/>
    <w:basedOn w:val="TableText"/>
    <w:rsid w:val="008D2182"/>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8D2182"/>
    <w:pPr>
      <w:outlineLvl w:val="9"/>
    </w:pPr>
  </w:style>
  <w:style w:type="paragraph" w:customStyle="1" w:styleId="Hesber">
    <w:name w:val="Hesber"/>
    <w:basedOn w:val="a"/>
    <w:rsid w:val="008D2182"/>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8D2182"/>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8D2182"/>
    <w:rPr>
      <w:vertAlign w:val="superscript"/>
    </w:rPr>
  </w:style>
  <w:style w:type="paragraph" w:customStyle="1" w:styleId="HesberHeading">
    <w:name w:val="Hesber Heading"/>
    <w:basedOn w:val="Hesber"/>
    <w:rsid w:val="008D2182"/>
    <w:pPr>
      <w:tabs>
        <w:tab w:val="left" w:pos="624"/>
        <w:tab w:val="left" w:pos="1247"/>
      </w:tabs>
    </w:pPr>
    <w:rPr>
      <w:b/>
      <w:bCs/>
    </w:rPr>
  </w:style>
  <w:style w:type="paragraph" w:customStyle="1" w:styleId="HesberWriters">
    <w:name w:val="Hesber Writers"/>
    <w:basedOn w:val="Hesber"/>
    <w:rsid w:val="008D2182"/>
    <w:pPr>
      <w:spacing w:before="120" w:after="120"/>
      <w:ind w:left="1418"/>
      <w:jc w:val="right"/>
    </w:pPr>
    <w:rPr>
      <w:b/>
      <w:bCs/>
    </w:rPr>
  </w:style>
  <w:style w:type="paragraph" w:customStyle="1" w:styleId="Hesber1st">
    <w:name w:val="Hesber 1st"/>
    <w:basedOn w:val="Hesber"/>
    <w:rsid w:val="008D2182"/>
    <w:pPr>
      <w:tabs>
        <w:tab w:val="left" w:pos="680"/>
        <w:tab w:val="left" w:pos="1020"/>
      </w:tabs>
      <w:ind w:firstLine="0"/>
    </w:pPr>
  </w:style>
  <w:style w:type="character" w:styleId="a7">
    <w:name w:val="endnote reference"/>
    <w:basedOn w:val="a0"/>
    <w:semiHidden/>
    <w:rsid w:val="008D2182"/>
    <w:rPr>
      <w:vertAlign w:val="superscript"/>
    </w:rPr>
  </w:style>
  <w:style w:type="paragraph" w:customStyle="1" w:styleId="TableBlockOutdent">
    <w:name w:val="Table BlockOutdent"/>
    <w:basedOn w:val="TableBlock"/>
    <w:rsid w:val="008D2182"/>
    <w:pPr>
      <w:ind w:left="624" w:hanging="624"/>
    </w:pPr>
  </w:style>
  <w:style w:type="paragraph" w:styleId="a8">
    <w:name w:val="header"/>
    <w:basedOn w:val="a"/>
    <w:rsid w:val="008D2182"/>
    <w:pPr>
      <w:tabs>
        <w:tab w:val="center" w:pos="4153"/>
        <w:tab w:val="right" w:pos="8306"/>
      </w:tabs>
    </w:pPr>
  </w:style>
  <w:style w:type="paragraph" w:styleId="a9">
    <w:name w:val="footer"/>
    <w:basedOn w:val="a"/>
    <w:rsid w:val="008D2182"/>
    <w:pPr>
      <w:tabs>
        <w:tab w:val="center" w:pos="4153"/>
        <w:tab w:val="right" w:pos="8306"/>
      </w:tabs>
    </w:pPr>
  </w:style>
  <w:style w:type="paragraph" w:customStyle="1" w:styleId="HeadDivreiHesber">
    <w:name w:val="Head DivreiHesber"/>
    <w:basedOn w:val="a"/>
    <w:rsid w:val="008D2182"/>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8D2182"/>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8D2182"/>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C90EC4"/>
    <w:rPr>
      <w:rFonts w:ascii="Arial" w:eastAsia="Arial Unicode MS" w:hAnsi="Arial" w:cs="David"/>
      <w:snapToGrid w:val="0"/>
      <w:sz w:val="14"/>
    </w:rPr>
  </w:style>
  <w:style w:type="character" w:customStyle="1" w:styleId="10">
    <w:name w:val="כותרת 1 תו"/>
    <w:basedOn w:val="a0"/>
    <w:link w:val="1"/>
    <w:uiPriority w:val="9"/>
    <w:rsid w:val="008D2182"/>
    <w:rPr>
      <w:rFonts w:asciiTheme="majorHAnsi" w:eastAsiaTheme="majorEastAsia" w:hAnsiTheme="majorHAnsi" w:cs="David"/>
      <w:bCs/>
      <w:sz w:val="32"/>
      <w:szCs w:val="36"/>
    </w:rPr>
  </w:style>
  <w:style w:type="character" w:customStyle="1" w:styleId="20">
    <w:name w:val="כותרת 2 תו"/>
    <w:basedOn w:val="a0"/>
    <w:link w:val="2"/>
    <w:rsid w:val="008D2182"/>
    <w:rPr>
      <w:rFonts w:asciiTheme="majorHAnsi" w:eastAsiaTheme="majorEastAsia" w:hAnsiTheme="majorHAnsi" w:cs="David"/>
      <w:bCs/>
      <w:sz w:val="26"/>
      <w:szCs w:val="36"/>
      <w:u w:val="single"/>
    </w:rPr>
  </w:style>
  <w:style w:type="character" w:customStyle="1" w:styleId="30">
    <w:name w:val="כותרת 3 תו"/>
    <w:basedOn w:val="a0"/>
    <w:link w:val="3"/>
    <w:rsid w:val="008D2182"/>
    <w:rPr>
      <w:rFonts w:asciiTheme="majorHAnsi" w:eastAsiaTheme="majorEastAsia" w:hAnsiTheme="majorHAnsi" w:cs="David"/>
      <w:sz w:val="24"/>
      <w:szCs w:val="28"/>
      <w:u w:val="double"/>
    </w:rPr>
  </w:style>
  <w:style w:type="character" w:customStyle="1" w:styleId="40">
    <w:name w:val="כותרת 4 תו"/>
    <w:basedOn w:val="a0"/>
    <w:link w:val="4"/>
    <w:uiPriority w:val="9"/>
    <w:rsid w:val="008D2182"/>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8D2182"/>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8D2182"/>
    <w:pPr>
      <w:widowControl/>
      <w:spacing w:before="120" w:after="120"/>
      <w:outlineLvl w:val="9"/>
    </w:pPr>
    <w:rPr>
      <w:rtl/>
      <w:cs/>
    </w:rPr>
  </w:style>
  <w:style w:type="paragraph" w:styleId="TOC1">
    <w:name w:val="toc 1"/>
    <w:basedOn w:val="a"/>
    <w:next w:val="a"/>
    <w:autoRedefine/>
    <w:uiPriority w:val="39"/>
    <w:unhideWhenUsed/>
    <w:rsid w:val="008D2182"/>
    <w:pPr>
      <w:tabs>
        <w:tab w:val="right" w:leader="dot" w:pos="9629"/>
      </w:tabs>
      <w:spacing w:after="100"/>
    </w:pPr>
    <w:rPr>
      <w:bCs/>
      <w:szCs w:val="22"/>
    </w:rPr>
  </w:style>
  <w:style w:type="paragraph" w:styleId="TOC2">
    <w:name w:val="toc 2"/>
    <w:basedOn w:val="a"/>
    <w:next w:val="a"/>
    <w:uiPriority w:val="39"/>
    <w:unhideWhenUsed/>
    <w:rsid w:val="008D2182"/>
    <w:pPr>
      <w:tabs>
        <w:tab w:val="right" w:leader="dot" w:pos="9628"/>
      </w:tabs>
      <w:spacing w:after="100"/>
    </w:pPr>
    <w:rPr>
      <w:szCs w:val="22"/>
    </w:rPr>
  </w:style>
  <w:style w:type="character" w:styleId="Hyperlink">
    <w:name w:val="Hyperlink"/>
    <w:basedOn w:val="a0"/>
    <w:uiPriority w:val="99"/>
    <w:unhideWhenUsed/>
    <w:rsid w:val="008D2182"/>
    <w:rPr>
      <w:color w:val="0000FF" w:themeColor="hyperlink"/>
      <w:u w:val="single"/>
    </w:rPr>
  </w:style>
  <w:style w:type="paragraph" w:styleId="TOC3">
    <w:name w:val="toc 3"/>
    <w:basedOn w:val="a"/>
    <w:next w:val="a"/>
    <w:uiPriority w:val="39"/>
    <w:unhideWhenUsed/>
    <w:rsid w:val="008D2182"/>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8D2182"/>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8D2182"/>
    <w:pPr>
      <w:tabs>
        <w:tab w:val="right" w:leader="dot" w:pos="9628"/>
      </w:tabs>
      <w:spacing w:after="100"/>
      <w:ind w:left="567"/>
    </w:pPr>
    <w:rPr>
      <w:szCs w:val="22"/>
    </w:rPr>
  </w:style>
  <w:style w:type="paragraph" w:styleId="TOC6">
    <w:name w:val="toc 6"/>
    <w:basedOn w:val="a"/>
    <w:next w:val="a"/>
    <w:autoRedefine/>
    <w:semiHidden/>
    <w:unhideWhenUsed/>
    <w:rsid w:val="008D2182"/>
    <w:pPr>
      <w:spacing w:after="100"/>
      <w:ind w:left="850"/>
    </w:pPr>
  </w:style>
  <w:style w:type="paragraph" w:styleId="TOC7">
    <w:name w:val="toc 7"/>
    <w:basedOn w:val="a"/>
    <w:next w:val="a"/>
    <w:autoRedefine/>
    <w:semiHidden/>
    <w:unhideWhenUsed/>
    <w:rsid w:val="008D2182"/>
    <w:pPr>
      <w:spacing w:after="100"/>
      <w:ind w:left="1020"/>
    </w:pPr>
  </w:style>
  <w:style w:type="paragraph" w:styleId="TOC8">
    <w:name w:val="toc 8"/>
    <w:basedOn w:val="a"/>
    <w:next w:val="a"/>
    <w:autoRedefine/>
    <w:semiHidden/>
    <w:unhideWhenUsed/>
    <w:rsid w:val="008D2182"/>
    <w:pPr>
      <w:spacing w:after="100"/>
      <w:ind w:left="1190"/>
    </w:pPr>
  </w:style>
  <w:style w:type="paragraph" w:styleId="TOC9">
    <w:name w:val="toc 9"/>
    <w:basedOn w:val="a"/>
    <w:next w:val="a"/>
    <w:autoRedefine/>
    <w:semiHidden/>
    <w:unhideWhenUsed/>
    <w:rsid w:val="008D2182"/>
    <w:pPr>
      <w:spacing w:after="100"/>
      <w:ind w:left="1360"/>
    </w:pPr>
  </w:style>
  <w:style w:type="paragraph" w:customStyle="1" w:styleId="TableHead2">
    <w:name w:val="Table Head2"/>
    <w:basedOn w:val="TableHead"/>
    <w:qFormat/>
    <w:rsid w:val="008D2182"/>
    <w:pPr>
      <w:outlineLvl w:val="9"/>
    </w:pPr>
  </w:style>
  <w:style w:type="paragraph" w:customStyle="1" w:styleId="TableSideHeading2">
    <w:name w:val="Table SideHeading2"/>
    <w:basedOn w:val="TableSideHeading"/>
    <w:autoRedefine/>
    <w:qFormat/>
    <w:rsid w:val="008D2182"/>
    <w:pPr>
      <w:keepLines w:val="0"/>
      <w:outlineLvl w:val="9"/>
    </w:pPr>
  </w:style>
  <w:style w:type="paragraph" w:customStyle="1" w:styleId="0">
    <w:name w:val="סגנון שורה ראשונה:  0  ס''מ"/>
    <w:basedOn w:val="2"/>
    <w:rsid w:val="008D2182"/>
    <w:rPr>
      <w:rFonts w:eastAsia="Times New Roman"/>
    </w:rPr>
  </w:style>
  <w:style w:type="paragraph" w:styleId="af">
    <w:name w:val="List Paragraph"/>
    <w:basedOn w:val="a"/>
    <w:uiPriority w:val="34"/>
    <w:qFormat/>
    <w:rsid w:val="008D2182"/>
    <w:pPr>
      <w:widowControl/>
      <w:spacing w:line="259" w:lineRule="auto"/>
    </w:pPr>
    <w:rPr>
      <w:rFonts w:asciiTheme="minorHAnsi" w:hAnsiTheme="minorHAnsi"/>
      <w:sz w:val="22"/>
    </w:rPr>
  </w:style>
  <w:style w:type="table" w:styleId="af0">
    <w:name w:val="Table Grid"/>
    <w:basedOn w:val="a1"/>
    <w:rsid w:val="008D2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8D218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8D21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8D2182"/>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8D2182"/>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388AF-6AB6-488E-AA1C-07A364EBA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AFE3-9455-419C-8851-785A55F44517}">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290d5b49-c690-4c6f-bbb9-1e50dab33ee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B3BE8A86-683E-44D8-857C-4CF89209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320</Words>
  <Characters>1830</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6</cp:revision>
  <cp:lastPrinted>2013-07-04T08:25:00Z</cp:lastPrinted>
  <dcterms:created xsi:type="dcterms:W3CDTF">2015-04-20T09:58:00Z</dcterms:created>
  <dcterms:modified xsi:type="dcterms:W3CDTF">2022-12-04T08:34:00Z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2197030</vt:r8>
  </property>
</Properties>
</file>